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691C" w:rsidRPr="0090691C" w:rsidRDefault="0090691C" w:rsidP="0090691C">
      <w:pPr>
        <w:spacing w:after="0" w:line="480" w:lineRule="auto"/>
        <w:rPr>
          <w:rFonts w:ascii="Times New Roman" w:hAnsi="Times New Roman" w:cs="Times New Roman"/>
          <w:sz w:val="24"/>
          <w:szCs w:val="24"/>
        </w:rPr>
      </w:pPr>
      <w:bookmarkStart w:id="0" w:name="_GoBack"/>
      <w:bookmarkEnd w:id="0"/>
    </w:p>
    <w:p w:rsidR="0090691C" w:rsidRPr="0090691C" w:rsidRDefault="0090691C" w:rsidP="0090691C">
      <w:pPr>
        <w:spacing w:after="0" w:line="480" w:lineRule="auto"/>
        <w:rPr>
          <w:rFonts w:ascii="Times New Roman" w:hAnsi="Times New Roman" w:cs="Times New Roman"/>
          <w:sz w:val="24"/>
          <w:szCs w:val="24"/>
        </w:rPr>
      </w:pPr>
    </w:p>
    <w:p w:rsidR="0090691C" w:rsidRPr="0090691C" w:rsidRDefault="0090691C" w:rsidP="0090691C">
      <w:pPr>
        <w:spacing w:after="0" w:line="480" w:lineRule="auto"/>
        <w:rPr>
          <w:rFonts w:ascii="Times New Roman" w:hAnsi="Times New Roman" w:cs="Times New Roman"/>
          <w:sz w:val="24"/>
          <w:szCs w:val="24"/>
        </w:rPr>
      </w:pPr>
    </w:p>
    <w:p w:rsidR="0090691C" w:rsidRPr="0090691C" w:rsidRDefault="0090691C" w:rsidP="0090691C">
      <w:pPr>
        <w:spacing w:after="0" w:line="480" w:lineRule="auto"/>
        <w:rPr>
          <w:rFonts w:ascii="Times New Roman" w:hAnsi="Times New Roman" w:cs="Times New Roman"/>
          <w:sz w:val="24"/>
          <w:szCs w:val="24"/>
        </w:rPr>
      </w:pPr>
    </w:p>
    <w:p w:rsidR="0090691C" w:rsidRPr="0090691C" w:rsidRDefault="0090691C" w:rsidP="0090691C">
      <w:pPr>
        <w:spacing w:after="0" w:line="480" w:lineRule="auto"/>
        <w:rPr>
          <w:rFonts w:ascii="Times New Roman" w:hAnsi="Times New Roman" w:cs="Times New Roman"/>
          <w:sz w:val="24"/>
          <w:szCs w:val="24"/>
        </w:rPr>
      </w:pPr>
    </w:p>
    <w:p w:rsidR="0090691C" w:rsidRPr="0090691C" w:rsidRDefault="0090691C" w:rsidP="0090691C">
      <w:pPr>
        <w:spacing w:after="0" w:line="480" w:lineRule="auto"/>
        <w:rPr>
          <w:rFonts w:ascii="Times New Roman" w:hAnsi="Times New Roman" w:cs="Times New Roman"/>
          <w:sz w:val="24"/>
          <w:szCs w:val="24"/>
        </w:rPr>
      </w:pPr>
    </w:p>
    <w:p w:rsidR="0090691C" w:rsidRPr="0090691C" w:rsidRDefault="0090691C" w:rsidP="0090691C">
      <w:pPr>
        <w:spacing w:after="0" w:line="480" w:lineRule="auto"/>
        <w:rPr>
          <w:rFonts w:ascii="Times New Roman" w:hAnsi="Times New Roman" w:cs="Times New Roman"/>
          <w:sz w:val="24"/>
          <w:szCs w:val="24"/>
        </w:rPr>
      </w:pPr>
    </w:p>
    <w:p w:rsidR="0090691C" w:rsidRPr="0090691C" w:rsidRDefault="0090691C" w:rsidP="0090691C">
      <w:pPr>
        <w:spacing w:after="0" w:line="480" w:lineRule="auto"/>
        <w:rPr>
          <w:rFonts w:ascii="Times New Roman" w:hAnsi="Times New Roman" w:cs="Times New Roman"/>
          <w:sz w:val="24"/>
          <w:szCs w:val="24"/>
        </w:rPr>
      </w:pPr>
    </w:p>
    <w:p w:rsidR="0090691C" w:rsidRPr="0090691C" w:rsidRDefault="0090691C" w:rsidP="0090691C">
      <w:pPr>
        <w:spacing w:after="0" w:line="480" w:lineRule="auto"/>
        <w:rPr>
          <w:rFonts w:ascii="Times New Roman" w:hAnsi="Times New Roman" w:cs="Times New Roman"/>
          <w:sz w:val="24"/>
          <w:szCs w:val="24"/>
        </w:rPr>
      </w:pPr>
    </w:p>
    <w:p w:rsidR="0090691C" w:rsidRPr="0090691C" w:rsidRDefault="0090691C" w:rsidP="0090691C">
      <w:pPr>
        <w:spacing w:after="0" w:line="480" w:lineRule="auto"/>
        <w:rPr>
          <w:rFonts w:ascii="Times New Roman" w:hAnsi="Times New Roman" w:cs="Times New Roman"/>
          <w:sz w:val="24"/>
          <w:szCs w:val="24"/>
        </w:rPr>
      </w:pPr>
    </w:p>
    <w:p w:rsidR="004E031B" w:rsidRPr="0090691C" w:rsidRDefault="0090691C" w:rsidP="0090691C">
      <w:pPr>
        <w:spacing w:after="0" w:line="480" w:lineRule="auto"/>
        <w:jc w:val="center"/>
        <w:rPr>
          <w:rFonts w:ascii="Times New Roman" w:hAnsi="Times New Roman" w:cs="Times New Roman"/>
          <w:sz w:val="24"/>
          <w:szCs w:val="24"/>
        </w:rPr>
      </w:pPr>
      <w:r w:rsidRPr="0090691C">
        <w:rPr>
          <w:rFonts w:ascii="Times New Roman" w:hAnsi="Times New Roman" w:cs="Times New Roman"/>
          <w:sz w:val="24"/>
          <w:szCs w:val="24"/>
        </w:rPr>
        <w:t>Greece and PISA</w:t>
      </w:r>
    </w:p>
    <w:p w:rsidR="0090691C" w:rsidRPr="0090691C" w:rsidRDefault="0090691C" w:rsidP="0090691C">
      <w:pPr>
        <w:spacing w:after="0" w:line="480" w:lineRule="auto"/>
        <w:jc w:val="center"/>
        <w:rPr>
          <w:rFonts w:ascii="Times New Roman" w:hAnsi="Times New Roman" w:cs="Times New Roman"/>
          <w:sz w:val="24"/>
          <w:szCs w:val="24"/>
        </w:rPr>
      </w:pPr>
      <w:r w:rsidRPr="0090691C">
        <w:rPr>
          <w:rFonts w:ascii="Times New Roman" w:hAnsi="Times New Roman" w:cs="Times New Roman"/>
          <w:sz w:val="24"/>
          <w:szCs w:val="24"/>
        </w:rPr>
        <w:t>John Findura</w:t>
      </w:r>
    </w:p>
    <w:p w:rsidR="0090691C" w:rsidRDefault="0090691C" w:rsidP="0090691C">
      <w:pPr>
        <w:spacing w:after="0" w:line="480" w:lineRule="auto"/>
        <w:jc w:val="center"/>
        <w:rPr>
          <w:rFonts w:ascii="Times New Roman" w:hAnsi="Times New Roman" w:cs="Times New Roman"/>
          <w:sz w:val="24"/>
          <w:szCs w:val="24"/>
        </w:rPr>
      </w:pPr>
      <w:r w:rsidRPr="0090691C">
        <w:rPr>
          <w:rFonts w:ascii="Times New Roman" w:hAnsi="Times New Roman" w:cs="Times New Roman"/>
          <w:sz w:val="24"/>
          <w:szCs w:val="24"/>
        </w:rPr>
        <w:t>New Jersey City University</w:t>
      </w:r>
    </w:p>
    <w:p w:rsidR="0090691C" w:rsidRPr="0090691C" w:rsidRDefault="0090691C" w:rsidP="0090691C">
      <w:pPr>
        <w:rPr>
          <w:rFonts w:ascii="Times New Roman" w:hAnsi="Times New Roman" w:cs="Times New Roman"/>
          <w:sz w:val="24"/>
          <w:szCs w:val="24"/>
        </w:rPr>
      </w:pPr>
    </w:p>
    <w:p w:rsidR="0090691C" w:rsidRPr="0090691C" w:rsidRDefault="0090691C" w:rsidP="0090691C">
      <w:pPr>
        <w:rPr>
          <w:rFonts w:ascii="Times New Roman" w:hAnsi="Times New Roman" w:cs="Times New Roman"/>
          <w:sz w:val="24"/>
          <w:szCs w:val="24"/>
        </w:rPr>
      </w:pPr>
    </w:p>
    <w:p w:rsidR="0090691C" w:rsidRPr="0090691C" w:rsidRDefault="0090691C" w:rsidP="0090691C">
      <w:pPr>
        <w:rPr>
          <w:rFonts w:ascii="Times New Roman" w:hAnsi="Times New Roman" w:cs="Times New Roman"/>
          <w:sz w:val="24"/>
          <w:szCs w:val="24"/>
        </w:rPr>
      </w:pPr>
    </w:p>
    <w:p w:rsidR="0090691C" w:rsidRPr="0090691C" w:rsidRDefault="0090691C" w:rsidP="0090691C">
      <w:pPr>
        <w:rPr>
          <w:rFonts w:ascii="Times New Roman" w:hAnsi="Times New Roman" w:cs="Times New Roman"/>
          <w:sz w:val="24"/>
          <w:szCs w:val="24"/>
        </w:rPr>
      </w:pPr>
    </w:p>
    <w:p w:rsidR="0090691C" w:rsidRPr="0090691C" w:rsidRDefault="0090691C" w:rsidP="0090691C">
      <w:pPr>
        <w:rPr>
          <w:rFonts w:ascii="Times New Roman" w:hAnsi="Times New Roman" w:cs="Times New Roman"/>
          <w:sz w:val="24"/>
          <w:szCs w:val="24"/>
        </w:rPr>
      </w:pPr>
    </w:p>
    <w:p w:rsidR="0090691C" w:rsidRPr="0090691C" w:rsidRDefault="0090691C" w:rsidP="0090691C">
      <w:pPr>
        <w:rPr>
          <w:rFonts w:ascii="Times New Roman" w:hAnsi="Times New Roman" w:cs="Times New Roman"/>
          <w:sz w:val="24"/>
          <w:szCs w:val="24"/>
        </w:rPr>
      </w:pPr>
    </w:p>
    <w:p w:rsidR="0090691C" w:rsidRPr="0090691C" w:rsidRDefault="0090691C" w:rsidP="0090691C">
      <w:pPr>
        <w:rPr>
          <w:rFonts w:ascii="Times New Roman" w:hAnsi="Times New Roman" w:cs="Times New Roman"/>
          <w:sz w:val="24"/>
          <w:szCs w:val="24"/>
        </w:rPr>
      </w:pPr>
    </w:p>
    <w:p w:rsidR="0090691C" w:rsidRPr="0090691C" w:rsidRDefault="0090691C" w:rsidP="0090691C">
      <w:pPr>
        <w:rPr>
          <w:rFonts w:ascii="Times New Roman" w:hAnsi="Times New Roman" w:cs="Times New Roman"/>
          <w:sz w:val="24"/>
          <w:szCs w:val="24"/>
        </w:rPr>
      </w:pPr>
    </w:p>
    <w:p w:rsidR="0090691C" w:rsidRDefault="0090691C" w:rsidP="0090691C">
      <w:pPr>
        <w:rPr>
          <w:rFonts w:ascii="Times New Roman" w:hAnsi="Times New Roman" w:cs="Times New Roman"/>
          <w:sz w:val="24"/>
          <w:szCs w:val="24"/>
        </w:rPr>
      </w:pPr>
    </w:p>
    <w:p w:rsidR="0090691C" w:rsidRDefault="0090691C" w:rsidP="0090691C">
      <w:pPr>
        <w:rPr>
          <w:rFonts w:ascii="Times New Roman" w:hAnsi="Times New Roman" w:cs="Times New Roman"/>
          <w:sz w:val="24"/>
          <w:szCs w:val="24"/>
        </w:rPr>
      </w:pPr>
    </w:p>
    <w:p w:rsidR="0090691C" w:rsidRDefault="0090691C">
      <w:pPr>
        <w:rPr>
          <w:rFonts w:ascii="Times New Roman" w:hAnsi="Times New Roman" w:cs="Times New Roman"/>
          <w:sz w:val="24"/>
          <w:szCs w:val="24"/>
        </w:rPr>
      </w:pPr>
      <w:r>
        <w:rPr>
          <w:rFonts w:ascii="Times New Roman" w:hAnsi="Times New Roman" w:cs="Times New Roman"/>
          <w:sz w:val="24"/>
          <w:szCs w:val="24"/>
        </w:rPr>
        <w:br w:type="page"/>
      </w:r>
    </w:p>
    <w:p w:rsidR="00CF03EA" w:rsidRDefault="00413D91" w:rsidP="00413D91">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lastRenderedPageBreak/>
        <w:t>Greece and PISA</w:t>
      </w:r>
    </w:p>
    <w:p w:rsidR="0090691C" w:rsidRDefault="00CF03EA" w:rsidP="00CF03EA">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According the last PISA (</w:t>
      </w:r>
      <w:proofErr w:type="spellStart"/>
      <w:r>
        <w:rPr>
          <w:rFonts w:ascii="Times New Roman" w:hAnsi="Times New Roman" w:cs="Times New Roman"/>
          <w:sz w:val="24"/>
          <w:szCs w:val="24"/>
        </w:rPr>
        <w:t>Programme</w:t>
      </w:r>
      <w:proofErr w:type="spellEnd"/>
      <w:r>
        <w:rPr>
          <w:rFonts w:ascii="Times New Roman" w:hAnsi="Times New Roman" w:cs="Times New Roman"/>
          <w:sz w:val="24"/>
          <w:szCs w:val="24"/>
        </w:rPr>
        <w:t xml:space="preserve"> for International Students Assessments) report by the OECD (</w:t>
      </w:r>
      <w:proofErr w:type="spellStart"/>
      <w:r>
        <w:rPr>
          <w:rFonts w:ascii="Times New Roman" w:hAnsi="Times New Roman" w:cs="Times New Roman"/>
          <w:sz w:val="24"/>
          <w:szCs w:val="24"/>
        </w:rPr>
        <w:t>Organisation</w:t>
      </w:r>
      <w:proofErr w:type="spellEnd"/>
      <w:r>
        <w:rPr>
          <w:rFonts w:ascii="Times New Roman" w:hAnsi="Times New Roman" w:cs="Times New Roman"/>
          <w:sz w:val="24"/>
          <w:szCs w:val="24"/>
        </w:rPr>
        <w:t xml:space="preserve"> for Economic Co-Operation and Development), which was compiled in 2015, Greece was ranked 47</w:t>
      </w:r>
      <w:r w:rsidRPr="00CF03EA">
        <w:rPr>
          <w:rFonts w:ascii="Times New Roman" w:hAnsi="Times New Roman" w:cs="Times New Roman"/>
          <w:sz w:val="24"/>
          <w:szCs w:val="24"/>
          <w:vertAlign w:val="superscript"/>
        </w:rPr>
        <w:t>th</w:t>
      </w:r>
      <w:r>
        <w:rPr>
          <w:rFonts w:ascii="Times New Roman" w:hAnsi="Times New Roman" w:cs="Times New Roman"/>
          <w:sz w:val="24"/>
          <w:szCs w:val="24"/>
        </w:rPr>
        <w:t xml:space="preserve"> out of 74 participating countries and/or territories (OECD, 2018). PISA reported mean scores in the three areas it assesses as 493 in reading, 493 in science, and 490 in mathematics (OECD, 2018). Greece’s mean scores were 455 in reading, 467 in science, and 454 in mathematics. </w:t>
      </w:r>
      <w:r w:rsidR="00413D91">
        <w:rPr>
          <w:rFonts w:ascii="Times New Roman" w:hAnsi="Times New Roman" w:cs="Times New Roman"/>
          <w:sz w:val="24"/>
          <w:szCs w:val="24"/>
        </w:rPr>
        <w:t>Since the previous PISA in 2012, Greece’s scores in reading dropped eight points, dropped six points in science, and gained one point in mathematics.</w:t>
      </w:r>
    </w:p>
    <w:p w:rsidR="00684B23" w:rsidRDefault="00413D91" w:rsidP="00CF03EA">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Looking at all three assessed areas, Greece showed only 6.8% of students ranked as “high performers” in at least one assessed area while the mean percentage of students across all countries was 15.3% (OECD, 2018). For “low performers” across all three areas, Greece tested in with 20.7% of its students, significantly above the 13% mean (OECD, 2018). </w:t>
      </w:r>
      <w:r w:rsidR="00684B23">
        <w:rPr>
          <w:rFonts w:ascii="Times New Roman" w:hAnsi="Times New Roman" w:cs="Times New Roman"/>
          <w:sz w:val="24"/>
          <w:szCs w:val="24"/>
        </w:rPr>
        <w:t xml:space="preserve">PISA also found noticeable gaps between male and female students, between native and foreign-born students, and also between differing socio-economic statuses (European Commission, 2017). </w:t>
      </w:r>
    </w:p>
    <w:p w:rsidR="002E0BAD" w:rsidRDefault="00684B23" w:rsidP="00CF03EA">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These findings have led to significant changes in the structure of Greek education. In 2017, the policy of electing school leaders via anonymous ballot by teachers was abolished so as to provide more transparency in</w:t>
      </w:r>
      <w:r w:rsidR="002E0BAD">
        <w:rPr>
          <w:rFonts w:ascii="Times New Roman" w:hAnsi="Times New Roman" w:cs="Times New Roman"/>
          <w:sz w:val="24"/>
          <w:szCs w:val="24"/>
        </w:rPr>
        <w:t xml:space="preserve"> the process (European Commission, 2017). Greek schools are also implementing more assessment measures to ensure that students exit prepared, however, the school system itself is tasked with creating these assessments and measuring them and there is no requirement to involve outside or neutral parties, nor is there any requirement to publish the results of these assessments (European Commission, 2017).</w:t>
      </w:r>
    </w:p>
    <w:p w:rsidR="00E75E4C" w:rsidRDefault="00E75E4C" w:rsidP="00CF03EA">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National Herald (2017) reported that critical thinking, the hallmark of Ancient Greek education, has been replaced by memorization of facts and the ability to recall those facts. A </w:t>
      </w:r>
      <w:r>
        <w:rPr>
          <w:rFonts w:ascii="Times New Roman" w:hAnsi="Times New Roman" w:cs="Times New Roman"/>
          <w:sz w:val="24"/>
          <w:szCs w:val="24"/>
        </w:rPr>
        <w:lastRenderedPageBreak/>
        <w:t>study commissioned by the Greek Minister of Education cited numerous reasons for the poor PISA showing, including teachers using antiquated teaching techniques that do not take into account the modern world and a ruling political party that currently looks down on education in general (The National Herald, 2017).</w:t>
      </w:r>
    </w:p>
    <w:p w:rsidR="002E0BAD" w:rsidRDefault="002E0BAD">
      <w:pPr>
        <w:rPr>
          <w:rFonts w:ascii="Times New Roman" w:hAnsi="Times New Roman" w:cs="Times New Roman"/>
          <w:sz w:val="24"/>
          <w:szCs w:val="24"/>
        </w:rPr>
      </w:pPr>
      <w:r>
        <w:rPr>
          <w:rFonts w:ascii="Times New Roman" w:hAnsi="Times New Roman" w:cs="Times New Roman"/>
          <w:sz w:val="24"/>
          <w:szCs w:val="24"/>
        </w:rPr>
        <w:br w:type="page"/>
      </w:r>
    </w:p>
    <w:p w:rsidR="002E0BAD" w:rsidRDefault="002E0BAD" w:rsidP="002E0BAD">
      <w:pPr>
        <w:spacing w:after="0" w:line="480" w:lineRule="auto"/>
        <w:rPr>
          <w:rFonts w:ascii="Times New Roman" w:hAnsi="Times New Roman" w:cs="Times New Roman"/>
          <w:sz w:val="24"/>
          <w:szCs w:val="24"/>
        </w:rPr>
      </w:pPr>
      <w:r>
        <w:rPr>
          <w:rFonts w:ascii="Times New Roman" w:hAnsi="Times New Roman" w:cs="Times New Roman"/>
          <w:sz w:val="24"/>
          <w:szCs w:val="24"/>
        </w:rPr>
        <w:lastRenderedPageBreak/>
        <w:t>References</w:t>
      </w:r>
    </w:p>
    <w:p w:rsidR="002E0BAD" w:rsidRDefault="002E0BAD" w:rsidP="002E0BAD">
      <w:pPr>
        <w:spacing w:after="0" w:line="480" w:lineRule="auto"/>
        <w:rPr>
          <w:rFonts w:ascii="Times New Roman" w:hAnsi="Times New Roman" w:cs="Times New Roman"/>
          <w:sz w:val="24"/>
          <w:szCs w:val="24"/>
        </w:rPr>
      </w:pPr>
      <w:r>
        <w:rPr>
          <w:rFonts w:ascii="Times New Roman" w:hAnsi="Times New Roman" w:cs="Times New Roman"/>
          <w:sz w:val="24"/>
          <w:szCs w:val="24"/>
        </w:rPr>
        <w:t xml:space="preserve">European Commission. (2017). </w:t>
      </w:r>
      <w:r w:rsidRPr="002E0BAD">
        <w:rPr>
          <w:rFonts w:ascii="Times New Roman" w:hAnsi="Times New Roman" w:cs="Times New Roman"/>
          <w:i/>
          <w:sz w:val="24"/>
          <w:szCs w:val="24"/>
        </w:rPr>
        <w:t>Education and Training Monitor 2017: Greece</w:t>
      </w:r>
      <w:r w:rsidRPr="002E0BAD">
        <w:rPr>
          <w:rFonts w:ascii="Times New Roman" w:hAnsi="Times New Roman" w:cs="Times New Roman"/>
          <w:sz w:val="24"/>
          <w:szCs w:val="24"/>
        </w:rPr>
        <w:t>. Luxembourg:</w:t>
      </w:r>
    </w:p>
    <w:p w:rsidR="002E0BAD" w:rsidRDefault="002E0BAD" w:rsidP="002E0BAD">
      <w:pPr>
        <w:spacing w:after="0" w:line="480" w:lineRule="auto"/>
        <w:ind w:firstLine="720"/>
        <w:rPr>
          <w:rFonts w:ascii="Times New Roman" w:hAnsi="Times New Roman" w:cs="Times New Roman"/>
          <w:sz w:val="24"/>
          <w:szCs w:val="24"/>
        </w:rPr>
      </w:pPr>
      <w:r w:rsidRPr="002E0BAD">
        <w:rPr>
          <w:rFonts w:ascii="Times New Roman" w:hAnsi="Times New Roman" w:cs="Times New Roman"/>
          <w:sz w:val="24"/>
          <w:szCs w:val="24"/>
        </w:rPr>
        <w:t>Publications Office of the European Union.</w:t>
      </w:r>
      <w:r>
        <w:t xml:space="preserve"> </w:t>
      </w:r>
      <w:r>
        <w:rPr>
          <w:rFonts w:ascii="Times New Roman" w:hAnsi="Times New Roman" w:cs="Times New Roman"/>
          <w:sz w:val="24"/>
          <w:szCs w:val="24"/>
        </w:rPr>
        <w:t>Retrieved from</w:t>
      </w:r>
    </w:p>
    <w:p w:rsidR="00684B23" w:rsidRDefault="002E0BAD" w:rsidP="002E0BAD">
      <w:pPr>
        <w:spacing w:after="0" w:line="480" w:lineRule="auto"/>
        <w:ind w:firstLine="720"/>
        <w:rPr>
          <w:rFonts w:ascii="Times New Roman" w:hAnsi="Times New Roman" w:cs="Times New Roman"/>
          <w:sz w:val="24"/>
          <w:szCs w:val="24"/>
        </w:rPr>
      </w:pPr>
      <w:r w:rsidRPr="002E0BAD">
        <w:rPr>
          <w:rFonts w:ascii="Times New Roman" w:hAnsi="Times New Roman" w:cs="Times New Roman"/>
          <w:sz w:val="24"/>
          <w:szCs w:val="24"/>
        </w:rPr>
        <w:t>https://ec.europa.eu/education/sites/education/files/monitor2017-el_en.pdf</w:t>
      </w:r>
    </w:p>
    <w:p w:rsidR="00E75E4C" w:rsidRDefault="00E75E4C" w:rsidP="00E75E4C">
      <w:pPr>
        <w:spacing w:after="0" w:line="480" w:lineRule="auto"/>
        <w:rPr>
          <w:rFonts w:ascii="Times New Roman" w:hAnsi="Times New Roman" w:cs="Times New Roman"/>
          <w:sz w:val="24"/>
          <w:szCs w:val="24"/>
        </w:rPr>
      </w:pPr>
      <w:r>
        <w:rPr>
          <w:rFonts w:ascii="Times New Roman" w:hAnsi="Times New Roman" w:cs="Times New Roman"/>
          <w:sz w:val="24"/>
          <w:szCs w:val="24"/>
        </w:rPr>
        <w:t>National</w:t>
      </w:r>
      <w:r w:rsidRPr="00E75E4C">
        <w:rPr>
          <w:rFonts w:ascii="Times New Roman" w:hAnsi="Times New Roman" w:cs="Times New Roman"/>
          <w:sz w:val="24"/>
          <w:szCs w:val="24"/>
        </w:rPr>
        <w:t xml:space="preserve"> Herald. (2017, September 25). OECD </w:t>
      </w:r>
      <w:r>
        <w:rPr>
          <w:rFonts w:ascii="Times New Roman" w:hAnsi="Times New Roman" w:cs="Times New Roman"/>
          <w:sz w:val="24"/>
          <w:szCs w:val="24"/>
        </w:rPr>
        <w:t>b</w:t>
      </w:r>
      <w:r w:rsidRPr="00E75E4C">
        <w:rPr>
          <w:rFonts w:ascii="Times New Roman" w:hAnsi="Times New Roman" w:cs="Times New Roman"/>
          <w:sz w:val="24"/>
          <w:szCs w:val="24"/>
        </w:rPr>
        <w:t xml:space="preserve">lames Greek </w:t>
      </w:r>
      <w:r>
        <w:rPr>
          <w:rFonts w:ascii="Times New Roman" w:hAnsi="Times New Roman" w:cs="Times New Roman"/>
          <w:sz w:val="24"/>
          <w:szCs w:val="24"/>
        </w:rPr>
        <w:t>e</w:t>
      </w:r>
      <w:r w:rsidRPr="00E75E4C">
        <w:rPr>
          <w:rFonts w:ascii="Times New Roman" w:hAnsi="Times New Roman" w:cs="Times New Roman"/>
          <w:sz w:val="24"/>
          <w:szCs w:val="24"/>
        </w:rPr>
        <w:t xml:space="preserve">ducation </w:t>
      </w:r>
      <w:r>
        <w:rPr>
          <w:rFonts w:ascii="Times New Roman" w:hAnsi="Times New Roman" w:cs="Times New Roman"/>
          <w:sz w:val="24"/>
          <w:szCs w:val="24"/>
        </w:rPr>
        <w:t>s</w:t>
      </w:r>
      <w:r w:rsidRPr="00E75E4C">
        <w:rPr>
          <w:rFonts w:ascii="Times New Roman" w:hAnsi="Times New Roman" w:cs="Times New Roman"/>
          <w:sz w:val="24"/>
          <w:szCs w:val="24"/>
        </w:rPr>
        <w:t xml:space="preserve">ystem for </w:t>
      </w:r>
      <w:r>
        <w:rPr>
          <w:rFonts w:ascii="Times New Roman" w:hAnsi="Times New Roman" w:cs="Times New Roman"/>
          <w:sz w:val="24"/>
          <w:szCs w:val="24"/>
        </w:rPr>
        <w:t>l</w:t>
      </w:r>
      <w:r w:rsidRPr="00E75E4C">
        <w:rPr>
          <w:rFonts w:ascii="Times New Roman" w:hAnsi="Times New Roman" w:cs="Times New Roman"/>
          <w:sz w:val="24"/>
          <w:szCs w:val="24"/>
        </w:rPr>
        <w:t>agging</w:t>
      </w:r>
    </w:p>
    <w:p w:rsidR="00E75E4C" w:rsidRDefault="00E75E4C" w:rsidP="00E75E4C">
      <w:pPr>
        <w:spacing w:after="0" w:line="480" w:lineRule="auto"/>
        <w:ind w:firstLine="720"/>
        <w:rPr>
          <w:rFonts w:ascii="Times New Roman" w:hAnsi="Times New Roman" w:cs="Times New Roman"/>
          <w:sz w:val="24"/>
          <w:szCs w:val="24"/>
        </w:rPr>
      </w:pPr>
      <w:proofErr w:type="gramStart"/>
      <w:r>
        <w:rPr>
          <w:rFonts w:ascii="Times New Roman" w:hAnsi="Times New Roman" w:cs="Times New Roman"/>
          <w:sz w:val="24"/>
          <w:szCs w:val="24"/>
        </w:rPr>
        <w:t>s</w:t>
      </w:r>
      <w:r w:rsidRPr="00E75E4C">
        <w:rPr>
          <w:rFonts w:ascii="Times New Roman" w:hAnsi="Times New Roman" w:cs="Times New Roman"/>
          <w:sz w:val="24"/>
          <w:szCs w:val="24"/>
        </w:rPr>
        <w:t>tudent</w:t>
      </w:r>
      <w:proofErr w:type="gramEnd"/>
      <w:r w:rsidRPr="00E75E4C">
        <w:rPr>
          <w:rFonts w:ascii="Times New Roman" w:hAnsi="Times New Roman" w:cs="Times New Roman"/>
          <w:sz w:val="24"/>
          <w:szCs w:val="24"/>
        </w:rPr>
        <w:t xml:space="preserve"> </w:t>
      </w:r>
      <w:r>
        <w:rPr>
          <w:rFonts w:ascii="Times New Roman" w:hAnsi="Times New Roman" w:cs="Times New Roman"/>
          <w:sz w:val="24"/>
          <w:szCs w:val="24"/>
        </w:rPr>
        <w:t>s</w:t>
      </w:r>
      <w:r w:rsidRPr="00E75E4C">
        <w:rPr>
          <w:rFonts w:ascii="Times New Roman" w:hAnsi="Times New Roman" w:cs="Times New Roman"/>
          <w:sz w:val="24"/>
          <w:szCs w:val="24"/>
        </w:rPr>
        <w:t>cores</w:t>
      </w:r>
      <w:r>
        <w:rPr>
          <w:rFonts w:ascii="Times New Roman" w:hAnsi="Times New Roman" w:cs="Times New Roman"/>
          <w:sz w:val="24"/>
          <w:szCs w:val="24"/>
        </w:rPr>
        <w:t xml:space="preserve">. Retrieved from </w:t>
      </w:r>
      <w:r w:rsidRPr="00E75E4C">
        <w:rPr>
          <w:rFonts w:ascii="Times New Roman" w:hAnsi="Times New Roman" w:cs="Times New Roman"/>
          <w:sz w:val="24"/>
          <w:szCs w:val="24"/>
        </w:rPr>
        <w:t>https://www.thenationalherald.com/176069/oecd-blames-</w:t>
      </w:r>
    </w:p>
    <w:p w:rsidR="00E75E4C" w:rsidRDefault="00E75E4C" w:rsidP="00E75E4C">
      <w:pPr>
        <w:spacing w:after="0" w:line="480" w:lineRule="auto"/>
        <w:ind w:firstLine="720"/>
        <w:rPr>
          <w:rFonts w:ascii="Times New Roman" w:hAnsi="Times New Roman" w:cs="Times New Roman"/>
          <w:sz w:val="24"/>
          <w:szCs w:val="24"/>
        </w:rPr>
      </w:pPr>
      <w:proofErr w:type="spellStart"/>
      <w:proofErr w:type="gramStart"/>
      <w:r w:rsidRPr="00E75E4C">
        <w:rPr>
          <w:rFonts w:ascii="Times New Roman" w:hAnsi="Times New Roman" w:cs="Times New Roman"/>
          <w:sz w:val="24"/>
          <w:szCs w:val="24"/>
        </w:rPr>
        <w:t>greek</w:t>
      </w:r>
      <w:proofErr w:type="spellEnd"/>
      <w:r w:rsidRPr="00E75E4C">
        <w:rPr>
          <w:rFonts w:ascii="Times New Roman" w:hAnsi="Times New Roman" w:cs="Times New Roman"/>
          <w:sz w:val="24"/>
          <w:szCs w:val="24"/>
        </w:rPr>
        <w:t>-education-system-lagging-student-scores</w:t>
      </w:r>
      <w:proofErr w:type="gramEnd"/>
      <w:r w:rsidRPr="00E75E4C">
        <w:rPr>
          <w:rFonts w:ascii="Times New Roman" w:hAnsi="Times New Roman" w:cs="Times New Roman"/>
          <w:sz w:val="24"/>
          <w:szCs w:val="24"/>
        </w:rPr>
        <w:t>/</w:t>
      </w:r>
    </w:p>
    <w:p w:rsidR="002E0BAD" w:rsidRDefault="002E0BAD" w:rsidP="002E0BAD">
      <w:pPr>
        <w:spacing w:after="0" w:line="480" w:lineRule="auto"/>
        <w:rPr>
          <w:rFonts w:ascii="Times New Roman" w:hAnsi="Times New Roman" w:cs="Times New Roman"/>
          <w:sz w:val="24"/>
          <w:szCs w:val="24"/>
        </w:rPr>
      </w:pPr>
      <w:proofErr w:type="spellStart"/>
      <w:r w:rsidRPr="002E0BAD">
        <w:rPr>
          <w:rFonts w:ascii="Times New Roman" w:hAnsi="Times New Roman" w:cs="Times New Roman"/>
          <w:sz w:val="24"/>
          <w:szCs w:val="24"/>
        </w:rPr>
        <w:t>O</w:t>
      </w:r>
      <w:r>
        <w:rPr>
          <w:rFonts w:ascii="Times New Roman" w:hAnsi="Times New Roman" w:cs="Times New Roman"/>
          <w:sz w:val="24"/>
          <w:szCs w:val="24"/>
        </w:rPr>
        <w:t>rganisation</w:t>
      </w:r>
      <w:proofErr w:type="spellEnd"/>
      <w:r>
        <w:rPr>
          <w:rFonts w:ascii="Times New Roman" w:hAnsi="Times New Roman" w:cs="Times New Roman"/>
          <w:sz w:val="24"/>
          <w:szCs w:val="24"/>
        </w:rPr>
        <w:t xml:space="preserve"> for Economic Co-Operation and Development</w:t>
      </w:r>
      <w:r w:rsidRPr="002E0BAD">
        <w:rPr>
          <w:rFonts w:ascii="Times New Roman" w:hAnsi="Times New Roman" w:cs="Times New Roman"/>
          <w:sz w:val="24"/>
          <w:szCs w:val="24"/>
        </w:rPr>
        <w:t xml:space="preserve">. (2018). PISA 2015: Results in </w:t>
      </w:r>
    </w:p>
    <w:p w:rsidR="002E0BAD" w:rsidRPr="002E0BAD" w:rsidRDefault="002E0BAD" w:rsidP="002E0BAD">
      <w:pPr>
        <w:spacing w:after="0" w:line="480" w:lineRule="auto"/>
        <w:rPr>
          <w:rFonts w:ascii="Times New Roman" w:hAnsi="Times New Roman" w:cs="Times New Roman"/>
          <w:sz w:val="24"/>
          <w:szCs w:val="24"/>
        </w:rPr>
      </w:pPr>
      <w:r>
        <w:rPr>
          <w:rFonts w:ascii="Times New Roman" w:hAnsi="Times New Roman" w:cs="Times New Roman"/>
          <w:sz w:val="24"/>
          <w:szCs w:val="24"/>
        </w:rPr>
        <w:tab/>
      </w:r>
      <w:proofErr w:type="gramStart"/>
      <w:r w:rsidRPr="002E0BAD">
        <w:rPr>
          <w:rFonts w:ascii="Times New Roman" w:hAnsi="Times New Roman" w:cs="Times New Roman"/>
          <w:sz w:val="24"/>
          <w:szCs w:val="24"/>
        </w:rPr>
        <w:t>focus</w:t>
      </w:r>
      <w:proofErr w:type="gramEnd"/>
      <w:r w:rsidRPr="002E0BAD">
        <w:rPr>
          <w:rFonts w:ascii="Times New Roman" w:hAnsi="Times New Roman" w:cs="Times New Roman"/>
          <w:sz w:val="24"/>
          <w:szCs w:val="24"/>
        </w:rPr>
        <w:t>. Retrieved from https://www.oecd.org/pisa/pisa-2015-results-in-focus.pdf</w:t>
      </w:r>
    </w:p>
    <w:p w:rsidR="002E0BAD" w:rsidRPr="0090691C" w:rsidRDefault="002E0BAD" w:rsidP="002E0BAD">
      <w:pPr>
        <w:spacing w:after="0" w:line="480" w:lineRule="auto"/>
        <w:rPr>
          <w:rFonts w:ascii="Times New Roman" w:hAnsi="Times New Roman" w:cs="Times New Roman"/>
          <w:sz w:val="24"/>
          <w:szCs w:val="24"/>
        </w:rPr>
      </w:pPr>
    </w:p>
    <w:sectPr w:rsidR="002E0BAD" w:rsidRPr="0090691C" w:rsidSect="0090691C">
      <w:headerReference w:type="default" r:id="rId6"/>
      <w:headerReference w:type="firs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62E5" w:rsidRDefault="00BE62E5" w:rsidP="0090691C">
      <w:pPr>
        <w:spacing w:after="0" w:line="240" w:lineRule="auto"/>
      </w:pPr>
      <w:r>
        <w:separator/>
      </w:r>
    </w:p>
  </w:endnote>
  <w:endnote w:type="continuationSeparator" w:id="0">
    <w:p w:rsidR="00BE62E5" w:rsidRDefault="00BE62E5" w:rsidP="009069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62E5" w:rsidRDefault="00BE62E5" w:rsidP="0090691C">
      <w:pPr>
        <w:spacing w:after="0" w:line="240" w:lineRule="auto"/>
      </w:pPr>
      <w:r>
        <w:separator/>
      </w:r>
    </w:p>
  </w:footnote>
  <w:footnote w:type="continuationSeparator" w:id="0">
    <w:p w:rsidR="00BE62E5" w:rsidRDefault="00BE62E5" w:rsidP="009069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691C" w:rsidRPr="0090691C" w:rsidRDefault="0090691C">
    <w:pPr>
      <w:pStyle w:val="Header"/>
      <w:rPr>
        <w:rFonts w:ascii="Times New Roman" w:hAnsi="Times New Roman" w:cs="Times New Roman"/>
        <w:sz w:val="24"/>
        <w:szCs w:val="24"/>
      </w:rPr>
    </w:pPr>
    <w:r w:rsidRPr="0090691C">
      <w:rPr>
        <w:rFonts w:ascii="Times New Roman" w:hAnsi="Times New Roman" w:cs="Times New Roman"/>
        <w:sz w:val="24"/>
        <w:szCs w:val="24"/>
      </w:rPr>
      <w:t>GREECE AND PISA</w:t>
    </w:r>
    <w:r w:rsidRPr="0090691C">
      <w:rPr>
        <w:rFonts w:ascii="Times New Roman" w:hAnsi="Times New Roman" w:cs="Times New Roman"/>
        <w:sz w:val="24"/>
        <w:szCs w:val="24"/>
      </w:rPr>
      <w:tab/>
    </w:r>
    <w:r w:rsidRPr="0090691C">
      <w:rPr>
        <w:rFonts w:ascii="Times New Roman" w:hAnsi="Times New Roman" w:cs="Times New Roman"/>
        <w:sz w:val="24"/>
        <w:szCs w:val="24"/>
      </w:rPr>
      <w:tab/>
    </w:r>
    <w:r w:rsidRPr="0090691C">
      <w:rPr>
        <w:rFonts w:ascii="Times New Roman" w:hAnsi="Times New Roman" w:cs="Times New Roman"/>
        <w:sz w:val="24"/>
        <w:szCs w:val="24"/>
      </w:rPr>
      <w:fldChar w:fldCharType="begin"/>
    </w:r>
    <w:r w:rsidRPr="0090691C">
      <w:rPr>
        <w:rFonts w:ascii="Times New Roman" w:hAnsi="Times New Roman" w:cs="Times New Roman"/>
        <w:sz w:val="24"/>
        <w:szCs w:val="24"/>
      </w:rPr>
      <w:instrText xml:space="preserve"> PAGE   \* MERGEFORMAT </w:instrText>
    </w:r>
    <w:r w:rsidRPr="0090691C">
      <w:rPr>
        <w:rFonts w:ascii="Times New Roman" w:hAnsi="Times New Roman" w:cs="Times New Roman"/>
        <w:sz w:val="24"/>
        <w:szCs w:val="24"/>
      </w:rPr>
      <w:fldChar w:fldCharType="separate"/>
    </w:r>
    <w:r w:rsidR="00245AD6">
      <w:rPr>
        <w:rFonts w:ascii="Times New Roman" w:hAnsi="Times New Roman" w:cs="Times New Roman"/>
        <w:noProof/>
        <w:sz w:val="24"/>
        <w:szCs w:val="24"/>
      </w:rPr>
      <w:t>2</w:t>
    </w:r>
    <w:r w:rsidRPr="0090691C">
      <w:rPr>
        <w:rFonts w:ascii="Times New Roman" w:hAnsi="Times New Roman" w:cs="Times New Roman"/>
        <w:noProof/>
        <w:sz w:val="24"/>
        <w:szCs w:val="24"/>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691C" w:rsidRPr="0090691C" w:rsidRDefault="0090691C">
    <w:pPr>
      <w:pStyle w:val="Header"/>
      <w:rPr>
        <w:rFonts w:ascii="Times New Roman" w:hAnsi="Times New Roman" w:cs="Times New Roman"/>
        <w:sz w:val="24"/>
        <w:szCs w:val="24"/>
      </w:rPr>
    </w:pPr>
    <w:r w:rsidRPr="0090691C">
      <w:rPr>
        <w:rFonts w:ascii="Times New Roman" w:hAnsi="Times New Roman" w:cs="Times New Roman"/>
        <w:sz w:val="24"/>
        <w:szCs w:val="24"/>
      </w:rPr>
      <w:t>Running head: GREECE AND PISA</w:t>
    </w:r>
    <w:r w:rsidRPr="0090691C">
      <w:rPr>
        <w:rFonts w:ascii="Times New Roman" w:hAnsi="Times New Roman" w:cs="Times New Roman"/>
        <w:sz w:val="24"/>
        <w:szCs w:val="24"/>
      </w:rPr>
      <w:tab/>
    </w:r>
    <w:r w:rsidRPr="0090691C">
      <w:rPr>
        <w:rFonts w:ascii="Times New Roman" w:hAnsi="Times New Roman" w:cs="Times New Roman"/>
        <w:sz w:val="24"/>
        <w:szCs w:val="24"/>
      </w:rPr>
      <w:tab/>
    </w:r>
    <w:r w:rsidRPr="0090691C">
      <w:rPr>
        <w:rFonts w:ascii="Times New Roman" w:hAnsi="Times New Roman" w:cs="Times New Roman"/>
        <w:sz w:val="24"/>
        <w:szCs w:val="24"/>
      </w:rPr>
      <w:fldChar w:fldCharType="begin"/>
    </w:r>
    <w:r w:rsidRPr="0090691C">
      <w:rPr>
        <w:rFonts w:ascii="Times New Roman" w:hAnsi="Times New Roman" w:cs="Times New Roman"/>
        <w:sz w:val="24"/>
        <w:szCs w:val="24"/>
      </w:rPr>
      <w:instrText xml:space="preserve"> PAGE   \* MERGEFORMAT </w:instrText>
    </w:r>
    <w:r w:rsidRPr="0090691C">
      <w:rPr>
        <w:rFonts w:ascii="Times New Roman" w:hAnsi="Times New Roman" w:cs="Times New Roman"/>
        <w:sz w:val="24"/>
        <w:szCs w:val="24"/>
      </w:rPr>
      <w:fldChar w:fldCharType="separate"/>
    </w:r>
    <w:r w:rsidR="00245AD6">
      <w:rPr>
        <w:rFonts w:ascii="Times New Roman" w:hAnsi="Times New Roman" w:cs="Times New Roman"/>
        <w:noProof/>
        <w:sz w:val="24"/>
        <w:szCs w:val="24"/>
      </w:rPr>
      <w:t>1</w:t>
    </w:r>
    <w:r w:rsidRPr="0090691C">
      <w:rPr>
        <w:rFonts w:ascii="Times New Roman" w:hAnsi="Times New Roman" w:cs="Times New Roman"/>
        <w:noProof/>
        <w:sz w:val="24"/>
        <w:szCs w:val="24"/>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91C"/>
    <w:rsid w:val="00245AD6"/>
    <w:rsid w:val="002E0BAD"/>
    <w:rsid w:val="003C4AD4"/>
    <w:rsid w:val="00413D91"/>
    <w:rsid w:val="004E031B"/>
    <w:rsid w:val="00684B23"/>
    <w:rsid w:val="00814175"/>
    <w:rsid w:val="0090691C"/>
    <w:rsid w:val="00BE62E5"/>
    <w:rsid w:val="00C57D6F"/>
    <w:rsid w:val="00CF03EA"/>
    <w:rsid w:val="00E75E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07471F-02E9-437F-8D3D-923B2A454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75E4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069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691C"/>
  </w:style>
  <w:style w:type="paragraph" w:styleId="Footer">
    <w:name w:val="footer"/>
    <w:basedOn w:val="Normal"/>
    <w:link w:val="FooterChar"/>
    <w:uiPriority w:val="99"/>
    <w:unhideWhenUsed/>
    <w:rsid w:val="009069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691C"/>
  </w:style>
  <w:style w:type="character" w:styleId="Hyperlink">
    <w:name w:val="Hyperlink"/>
    <w:basedOn w:val="DefaultParagraphFont"/>
    <w:uiPriority w:val="99"/>
    <w:unhideWhenUsed/>
    <w:rsid w:val="002E0BAD"/>
    <w:rPr>
      <w:color w:val="0563C1" w:themeColor="hyperlink"/>
      <w:u w:val="single"/>
    </w:rPr>
  </w:style>
  <w:style w:type="character" w:customStyle="1" w:styleId="Heading1Char">
    <w:name w:val="Heading 1 Char"/>
    <w:basedOn w:val="DefaultParagraphFont"/>
    <w:link w:val="Heading1"/>
    <w:uiPriority w:val="9"/>
    <w:rsid w:val="00E75E4C"/>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4326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448</Words>
  <Characters>2556</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Bergen Community College</Company>
  <LinksUpToDate>false</LinksUpToDate>
  <CharactersWithSpaces>2999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Findura</dc:creator>
  <cp:keywords/>
  <dc:description/>
  <cp:lastModifiedBy>John Findura</cp:lastModifiedBy>
  <cp:revision>2</cp:revision>
  <dcterms:created xsi:type="dcterms:W3CDTF">2019-08-12T16:31:00Z</dcterms:created>
  <dcterms:modified xsi:type="dcterms:W3CDTF">2019-08-12T16:31:00Z</dcterms:modified>
</cp:coreProperties>
</file>